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Community Beautification Grant Program Highlights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Each year in January the MayPort EDC will allocate Dollars to be used for community beautification projects.  For the year 2016-17 the MayPort ECD has allocated $25,000.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Applications are due to the EDC by March 1 of each year. 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The beautification committee is made up of members of the MayPort EDC.  The committee will review the applications and make recommendations to the board at its April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of the uses of the grants would be: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Removal of unsightly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Commercial exterior updating/remodeling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Improvements to existing public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Community Beautification Grant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Applicant: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Location of Project: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Description of Project: (please attach additional pages if needed)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Benefit of the project towards the beautification of our communities: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Summary of Project Cost (please attach detailed bids and/or cost breakdown):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Labor</w:t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Material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Miscellaneous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 Project Cost</w:t>
        <w:tab/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Applicant Input</w:t>
        <w:tab/>
        <w:tab/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(Recommended to be a minimum of 50% of Cost)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Requested Grant</w:t>
        <w:tab/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Expected Completion Date: 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Grant proceeds will not be paid until the project is completed and inspected by the EDC Beautification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Signature of Applicant:</w:t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Print Name:</w:t>
        <w:tab/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Completed applications can be e-mailed to </w:t>
      </w: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mpedc@mayvilleportland.com</w:t>
        </w:r>
      </w:hyperlink>
      <w:r w:rsidDel="00000000" w:rsidR="00000000" w:rsidRPr="00000000">
        <w:rPr>
          <w:rtl w:val="0"/>
        </w:rPr>
        <w:t xml:space="preserve"> or dropped off with Ernie at the Goose River Bank or Tom at the First &amp; Farmers Bank. </w:t>
      </w:r>
      <w:r w:rsidDel="00000000" w:rsidR="00000000" w:rsidRPr="00000000">
        <w:rPr>
          <w:rtl w:val="0"/>
        </w:rPr>
      </w:r>
    </w:p>
    <w:sectPr>
      <w:pgSz w:h="15840" w:w="12240"/>
      <w:pgMar w:bottom="99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pedc@mayvilleportland.com" TargetMode="External"/></Relationships>
</file>